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宋体" w:cs="Times New Roman"/>
          <w:bCs/>
          <w:color w:val="auto"/>
          <w:sz w:val="36"/>
          <w:szCs w:val="36"/>
          <w:highlight w:val="none"/>
          <w:lang w:eastAsia="zh-CN" w:bidi="en-US"/>
        </w:rPr>
      </w:pPr>
      <w:bookmarkStart w:id="0" w:name="_Toc16604"/>
      <w:bookmarkStart w:id="1" w:name="_Toc3842"/>
      <w:bookmarkStart w:id="2" w:name="_Toc4880"/>
      <w:r>
        <w:rPr>
          <w:rFonts w:hint="eastAsia" w:ascii="宋体" w:hAnsi="宋体" w:eastAsia="宋体" w:cs="宋体"/>
          <w:b/>
          <w:bCs w:val="0"/>
          <w:color w:val="auto"/>
          <w:sz w:val="36"/>
          <w:szCs w:val="36"/>
          <w:highlight w:val="none"/>
          <w:lang w:eastAsia="zh-CN" w:bidi="en-US"/>
        </w:rPr>
        <w:t>北京市海淀区功德寺棚户区改造项目HD-GDS-00</w:t>
      </w:r>
      <w:r>
        <w:rPr>
          <w:rFonts w:hint="eastAsia" w:ascii="宋体" w:hAnsi="宋体" w:eastAsia="宋体" w:cs="宋体"/>
          <w:b/>
          <w:bCs w:val="0"/>
          <w:color w:val="auto"/>
          <w:sz w:val="36"/>
          <w:szCs w:val="36"/>
          <w:highlight w:val="none"/>
          <w:lang w:val="en-US" w:eastAsia="zh-CN" w:bidi="en-US"/>
        </w:rPr>
        <w:t>2</w:t>
      </w:r>
      <w:r>
        <w:rPr>
          <w:rFonts w:hint="eastAsia" w:ascii="宋体" w:hAnsi="宋体" w:eastAsia="宋体" w:cs="宋体"/>
          <w:b/>
          <w:bCs w:val="0"/>
          <w:color w:val="auto"/>
          <w:sz w:val="36"/>
          <w:szCs w:val="36"/>
          <w:highlight w:val="none"/>
          <w:lang w:eastAsia="zh-CN" w:bidi="en-US"/>
        </w:rPr>
        <w:t>地块R2二类居住用地</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3" w:name="_Toc26439"/>
      <w:r>
        <w:rPr>
          <w:rFonts w:hint="default" w:ascii="Times New Roman" w:hAnsi="Times New Roman" w:eastAsia="宋体" w:cs="Times New Roman"/>
          <w:b/>
          <w:bCs/>
          <w:color w:val="auto"/>
          <w:sz w:val="36"/>
          <w:szCs w:val="36"/>
          <w:highlight w:val="none"/>
          <w:lang w:eastAsia="zh-CN" w:bidi="en-US"/>
        </w:rPr>
        <w:t>国有建设用地使用权</w:t>
      </w:r>
      <w:bookmarkStart w:id="4" w:name="_Toc41366853"/>
      <w:bookmarkStart w:id="5" w:name="_Toc41366787"/>
      <w:r>
        <w:rPr>
          <w:rFonts w:hint="default" w:ascii="Times New Roman" w:hAnsi="Times New Roman" w:eastAsia="宋体" w:cs="Times New Roman"/>
          <w:b/>
          <w:bCs/>
          <w:color w:val="auto"/>
          <w:sz w:val="36"/>
          <w:szCs w:val="36"/>
          <w:highlight w:val="none"/>
          <w:lang w:eastAsia="zh-CN" w:bidi="en-US"/>
        </w:rPr>
        <w:t>挂牌</w:t>
      </w:r>
      <w:bookmarkStart w:id="6" w:name="_Toc11484"/>
      <w:r>
        <w:rPr>
          <w:rFonts w:hint="default" w:ascii="Times New Roman" w:hAnsi="Times New Roman" w:eastAsia="宋体" w:cs="Times New Roman"/>
          <w:b/>
          <w:bCs/>
          <w:color w:val="auto"/>
          <w:sz w:val="36"/>
          <w:szCs w:val="36"/>
          <w:highlight w:val="none"/>
          <w:lang w:eastAsia="zh-CN" w:bidi="en-US"/>
        </w:rPr>
        <w:t>出让公告</w:t>
      </w:r>
      <w:bookmarkEnd w:id="0"/>
      <w:bookmarkEnd w:id="1"/>
      <w:bookmarkEnd w:id="2"/>
      <w:bookmarkEnd w:id="3"/>
      <w:bookmarkEnd w:id="4"/>
      <w:bookmarkEnd w:id="5"/>
      <w:bookmarkEnd w:id="6"/>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default" w:ascii="Times New Roman" w:hAnsi="Times New Roman" w:eastAsia="仿宋_GB2312" w:cs="Times New Roman"/>
          <w:color w:val="auto"/>
          <w:sz w:val="28"/>
          <w:highlight w:val="none"/>
          <w:lang w:eastAsia="zh-CN"/>
        </w:rPr>
        <w:t>北京市海淀区功德寺棚户区改造项目HD-GDS-00</w:t>
      </w:r>
      <w:r>
        <w:rPr>
          <w:rFonts w:hint="eastAsia" w:ascii="Times New Roman" w:hAnsi="Times New Roman" w:eastAsia="仿宋_GB2312" w:cs="Times New Roman"/>
          <w:color w:val="auto"/>
          <w:sz w:val="28"/>
          <w:highlight w:val="none"/>
          <w:lang w:val="en-US" w:eastAsia="zh-CN"/>
        </w:rPr>
        <w:t>2</w:t>
      </w:r>
      <w:r>
        <w:rPr>
          <w:rFonts w:hint="default" w:ascii="Times New Roman" w:hAnsi="Times New Roman" w:eastAsia="仿宋_GB2312" w:cs="Times New Roman"/>
          <w:color w:val="auto"/>
          <w:sz w:val="28"/>
          <w:highlight w:val="none"/>
          <w:lang w:eastAsia="zh-CN"/>
        </w:rPr>
        <w:t>地块R2二类居住用地</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本次挂牌出让宗地位于海淀区西北旺镇马连洼地区。四至范围详见《“多规合一”协同平台供地审核意见函》（京规自（海）供审函[2024]0005号）及其附图。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tbl>
      <w:tblPr>
        <w:tblStyle w:val="7"/>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680"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c>
          <w:tcPr>
            <w:tcW w:w="1739"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680" w:type="dxa"/>
            <w:vAlign w:val="center"/>
          </w:tcPr>
          <w:p>
            <w:pPr>
              <w:pStyle w:val="2"/>
              <w:spacing w:line="240" w:lineRule="auto"/>
              <w:ind w:left="-20" w:leftChars="-10" w:hanging="1" w:firstLineChars="0"/>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京土储挂（</w:t>
            </w:r>
            <w:r>
              <w:rPr>
                <w:rFonts w:hint="eastAsia" w:ascii="Times New Roman" w:hAnsi="Times New Roman" w:eastAsia="仿宋_GB2312" w:cs="Times New Roman"/>
                <w:color w:val="auto"/>
                <w:spacing w:val="-4"/>
                <w:sz w:val="24"/>
                <w:szCs w:val="24"/>
                <w:highlight w:val="none"/>
                <w:lang w:eastAsia="zh-CN"/>
              </w:rPr>
              <w:t>海</w:t>
            </w:r>
            <w:r>
              <w:rPr>
                <w:rFonts w:hint="default" w:ascii="Times New Roman" w:hAnsi="Times New Roman" w:eastAsia="仿宋_GB2312" w:cs="Times New Roman"/>
                <w:color w:val="auto"/>
                <w:spacing w:val="-4"/>
                <w:sz w:val="24"/>
                <w:szCs w:val="24"/>
                <w:highlight w:val="none"/>
                <w:lang w:eastAsia="zh-CN"/>
              </w:rPr>
              <w:t>）[2024]0</w:t>
            </w:r>
            <w:r>
              <w:rPr>
                <w:rFonts w:hint="eastAsia" w:ascii="Times New Roman" w:hAnsi="Times New Roman" w:eastAsia="仿宋_GB2312" w:cs="Times New Roman"/>
                <w:color w:val="auto"/>
                <w:spacing w:val="-4"/>
                <w:sz w:val="24"/>
                <w:szCs w:val="24"/>
                <w:highlight w:val="none"/>
                <w:lang w:val="en-US" w:eastAsia="zh-CN"/>
              </w:rPr>
              <w:t>4</w:t>
            </w:r>
            <w:r>
              <w:rPr>
                <w:rFonts w:hint="eastAsia" w:eastAsia="仿宋_GB2312" w:cs="Times New Roman"/>
                <w:color w:val="auto"/>
                <w:spacing w:val="-4"/>
                <w:sz w:val="24"/>
                <w:szCs w:val="24"/>
                <w:highlight w:val="none"/>
                <w:lang w:val="en-US" w:eastAsia="zh-CN"/>
              </w:rPr>
              <w:t>4</w:t>
            </w:r>
            <w:bookmarkStart w:id="7" w:name="_GoBack"/>
            <w:bookmarkEnd w:id="7"/>
            <w:r>
              <w:rPr>
                <w:rFonts w:hint="default" w:ascii="Times New Roman" w:hAnsi="Times New Roman" w:eastAsia="仿宋_GB2312" w:cs="Times New Roman"/>
                <w:color w:val="auto"/>
                <w:spacing w:val="-4"/>
                <w:sz w:val="24"/>
                <w:szCs w:val="24"/>
                <w:highlight w:val="none"/>
                <w:lang w:eastAsia="zh-CN"/>
              </w:rPr>
              <w:t>号</w:t>
            </w:r>
          </w:p>
        </w:tc>
        <w:tc>
          <w:tcPr>
            <w:tcW w:w="2348" w:type="dxa"/>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R2二类居住用地</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eastAsia="仿宋_GB2312" w:cs="Times New Roman"/>
                <w:color w:val="auto"/>
                <w:sz w:val="24"/>
                <w:lang w:val="en-US" w:eastAsia="zh-CN"/>
              </w:rPr>
              <w:t>42463.441</w:t>
            </w:r>
          </w:p>
        </w:tc>
        <w:tc>
          <w:tcPr>
            <w:tcW w:w="1739" w:type="dxa"/>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eastAsia" w:eastAsia="仿宋_GB2312" w:cs="Times New Roman"/>
                <w:color w:val="auto"/>
                <w:sz w:val="24"/>
                <w:lang w:val="en-US" w:eastAsia="zh-CN"/>
              </w:rPr>
              <w:t>89173.2261</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555000</w:t>
      </w:r>
      <w:r>
        <w:rPr>
          <w:rFonts w:hint="default" w:ascii="Times New Roman" w:hAnsi="Times New Roman" w:eastAsia="仿宋_GB2312" w:cs="Times New Roman"/>
          <w:color w:val="auto"/>
          <w:sz w:val="28"/>
          <w:highlight w:val="none"/>
        </w:rPr>
        <w:t xml:space="preserve">万元，竞价阶梯为人民币   </w:t>
      </w:r>
      <w:r>
        <w:rPr>
          <w:rFonts w:hint="eastAsia" w:ascii="Times New Roman" w:hAnsi="Times New Roman" w:eastAsia="仿宋_GB2312" w:cs="Times New Roman"/>
          <w:color w:val="auto"/>
          <w:sz w:val="28"/>
          <w:highlight w:val="none"/>
          <w:lang w:val="en-US" w:eastAsia="zh-CN"/>
        </w:rPr>
        <w:t>600</w:t>
      </w:r>
      <w:r>
        <w:rPr>
          <w:rFonts w:hint="default" w:ascii="Times New Roman" w:hAnsi="Times New Roman" w:eastAsia="仿宋_GB2312" w:cs="Times New Roman"/>
          <w:color w:val="auto"/>
          <w:sz w:val="28"/>
          <w:highlight w:val="none"/>
        </w:rPr>
        <w:t>万元整，竞买保证金为人民币</w:t>
      </w:r>
      <w:r>
        <w:rPr>
          <w:rFonts w:hint="eastAsia" w:ascii="Times New Roman" w:hAnsi="Times New Roman" w:eastAsia="仿宋_GB2312" w:cs="Times New Roman"/>
          <w:color w:val="auto"/>
          <w:sz w:val="28"/>
          <w:highlight w:val="none"/>
          <w:lang w:val="en-US" w:eastAsia="zh-CN"/>
        </w:rPr>
        <w:t>1110</w:t>
      </w:r>
      <w:r>
        <w:rPr>
          <w:rFonts w:hint="default" w:ascii="Times New Roman" w:hAnsi="Times New Roman" w:eastAsia="仿宋_GB2312" w:cs="Times New Roman"/>
          <w:color w:val="auto"/>
          <w:sz w:val="28"/>
          <w:highlight w:val="none"/>
        </w:rPr>
        <w:t>00万元。</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含全资公司、控股公司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eastAsia="zh-CN"/>
        </w:rPr>
        <w:t>638250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未遵守本出让交易文件的其他有关规定的。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、本次挂牌出让竞买申请起始时间为2024年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rPr>
        <w:t>日9：00时起，竞买申请截止时间为2024年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日17：00时止；挂牌竞价起始时间为2024年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22</w:t>
      </w:r>
      <w:r>
        <w:rPr>
          <w:rFonts w:hint="default" w:ascii="Times New Roman" w:hAnsi="Times New Roman" w:eastAsia="仿宋_GB2312" w:cs="Times New Roman"/>
          <w:color w:val="auto"/>
          <w:sz w:val="28"/>
          <w:highlight w:val="none"/>
        </w:rPr>
        <w:t>日9：00时起，挂牌竞价截止时间为2024年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rPr>
        <w:t>日15：00时止。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日，每工作日上午9:30-12:00，下午14:30-17:00，电话：010-55597352、010-55597351。</w:t>
      </w:r>
    </w:p>
    <w:p>
      <w:pPr>
        <w:spacing w:before="0" w:beforeLines="0" w:after="0" w:afterLines="0"/>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十一、联系方式</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联系方式（项目咨询）：010-55595198、55595</w:t>
      </w:r>
      <w:r>
        <w:rPr>
          <w:rFonts w:hint="eastAsia" w:ascii="Times New Roman" w:hAnsi="Times New Roman" w:eastAsia="仿宋_GB2312" w:cs="Times New Roman"/>
          <w:color w:val="auto"/>
          <w:sz w:val="28"/>
          <w:highlight w:val="none"/>
          <w:lang w:val="en-US" w:eastAsia="zh-CN"/>
        </w:rPr>
        <w:t>193</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beforeLines="0" w:afterLines="0" w:line="240" w:lineRule="auto"/>
        <w:ind w:right="0" w:firstLine="560" w:firstLineChars="200"/>
        <w:jc w:val="left"/>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（三）北京市海淀区规划和自然资源综合事务中心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eastAsia" w:ascii="Times New Roman" w:hAnsi="Times New Roman" w:eastAsia="仿宋_GB2312" w:cs="Times New Roman"/>
          <w:color w:val="auto"/>
          <w:sz w:val="28"/>
          <w:highlight w:val="none"/>
          <w:lang w:val="en-US" w:eastAsia="zh-CN"/>
        </w:rPr>
        <w:t>联系方式（现场踏勘）：010-67412260</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r>
        <w:rPr>
          <w:rFonts w:hint="default" w:ascii="Times New Roman" w:hAnsi="Times New Roman" w:eastAsia="仿宋_GB2312" w:cs="Times New Roman"/>
          <w:color w:val="auto"/>
          <w:sz w:val="28"/>
          <w:highlight w:val="none"/>
          <w:lang w:val="en-US" w:eastAsia="zh-CN"/>
        </w:rPr>
        <w:t xml:space="preserve">           </w:t>
      </w:r>
      <w:r>
        <w:rPr>
          <w:rFonts w:hint="eastAsia"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47E94276"/>
    <w:rsid w:val="4EBC209D"/>
    <w:rsid w:val="54F26182"/>
    <w:rsid w:val="663130F1"/>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3"/>
    <w:basedOn w:val="1"/>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2024-09-29T08:31:12Z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